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0078" w14:textId="77777777" w:rsidR="00E513DB" w:rsidRPr="00202FB5" w:rsidRDefault="00202FB5">
      <w:pPr>
        <w:pStyle w:val="BodyText"/>
        <w:rPr>
          <w:rFonts w:ascii="Times New Roman"/>
          <w:sz w:val="28"/>
          <w:szCs w:val="28"/>
        </w:rPr>
      </w:pPr>
      <w:r>
        <w:rPr>
          <w:rFonts w:ascii="Script MT Bold" w:eastAsia="Times New Roman" w:hAnsi="Script MT Bold" w:cs="Times New Roman"/>
          <w:color w:val="CC0000"/>
          <w:sz w:val="24"/>
          <w:szCs w:val="24"/>
          <w:lang w:val="fr-FR"/>
        </w:rPr>
        <w:t xml:space="preserve">          </w:t>
      </w:r>
      <w:r w:rsidRPr="00D929BB">
        <w:rPr>
          <w:rFonts w:ascii="Times New Roman" w:eastAsia="Times New Roman" w:hAnsi="Times New Roman" w:cs="Times New Roman" w:hint="eastAsia"/>
          <w:noProof/>
          <w:color w:val="000000"/>
          <w:sz w:val="24"/>
          <w:szCs w:val="24"/>
          <w:lang w:val="fr-CA" w:eastAsia="fr-CA"/>
        </w:rPr>
        <w:drawing>
          <wp:anchor distT="0" distB="0" distL="0" distR="0" simplePos="0" relativeHeight="251660288" behindDoc="1" locked="0" layoutInCell="1" allowOverlap="1" wp14:anchorId="7148F237" wp14:editId="168125F0">
            <wp:simplePos x="0" y="0"/>
            <wp:positionH relativeFrom="character">
              <wp:posOffset>29044</wp:posOffset>
            </wp:positionH>
            <wp:positionV relativeFrom="line">
              <wp:posOffset>-257092</wp:posOffset>
            </wp:positionV>
            <wp:extent cx="763120" cy="659958"/>
            <wp:effectExtent l="0" t="0" r="0" b="0"/>
            <wp:wrapNone/>
            <wp:docPr id="26" name="Picture 26" descr="ctf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f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37" cy="6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eastAsia="Times New Roman" w:hAnsi="Script MT Bold" w:cs="Times New Roman"/>
          <w:color w:val="CC0000"/>
          <w:sz w:val="24"/>
          <w:szCs w:val="24"/>
          <w:lang w:val="fr-FR"/>
        </w:rPr>
        <w:t xml:space="preserve">                       </w:t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 xml:space="preserve">Canadian </w:t>
      </w:r>
      <w:proofErr w:type="spellStart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Tenpin</w:t>
      </w:r>
      <w:proofErr w:type="spellEnd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 xml:space="preserve"> </w:t>
      </w:r>
      <w:proofErr w:type="spellStart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Federation</w:t>
      </w:r>
      <w:proofErr w:type="spellEnd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, Inc.</w:t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ab/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br/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ab/>
        <w:t xml:space="preserve">                  Fédération Canadienne des Dix-Quilles, Inc.</w:t>
      </w:r>
    </w:p>
    <w:p w14:paraId="7461CDCA" w14:textId="77777777" w:rsidR="00E513DB" w:rsidRDefault="00E513DB">
      <w:pPr>
        <w:pStyle w:val="BodyText"/>
        <w:rPr>
          <w:rFonts w:ascii="Times New Roman"/>
          <w:sz w:val="20"/>
        </w:rPr>
      </w:pPr>
    </w:p>
    <w:p w14:paraId="6720A22F" w14:textId="77777777" w:rsidR="00E513DB" w:rsidRDefault="00E513DB">
      <w:pPr>
        <w:pStyle w:val="BodyText"/>
        <w:rPr>
          <w:rFonts w:ascii="Times New Roman"/>
          <w:sz w:val="20"/>
        </w:rPr>
      </w:pPr>
    </w:p>
    <w:p w14:paraId="69FAE32D" w14:textId="77777777" w:rsidR="00E513DB" w:rsidRDefault="00E513DB">
      <w:pPr>
        <w:pStyle w:val="BodyText"/>
        <w:spacing w:before="2"/>
        <w:rPr>
          <w:rFonts w:ascii="Times New Roman"/>
          <w:sz w:val="19"/>
        </w:rPr>
      </w:pPr>
    </w:p>
    <w:p w14:paraId="58EA2A16" w14:textId="77777777" w:rsidR="00E513DB" w:rsidRDefault="00E513DB">
      <w:pPr>
        <w:pStyle w:val="BodyText"/>
        <w:rPr>
          <w:rFonts w:ascii="Times New Roman"/>
          <w:sz w:val="20"/>
        </w:rPr>
      </w:pPr>
    </w:p>
    <w:p w14:paraId="2A5D67AF" w14:textId="77777777" w:rsidR="00E513DB" w:rsidRPr="00BF4335" w:rsidRDefault="00202FB5">
      <w:pPr>
        <w:spacing w:before="225"/>
        <w:ind w:left="1412"/>
        <w:rPr>
          <w:rFonts w:ascii="Times New Roman" w:hAnsi="Times New Roman" w:cs="Times New Roman"/>
          <w:sz w:val="24"/>
          <w:szCs w:val="24"/>
          <w:lang w:val="fr-CA"/>
        </w:rPr>
      </w:pPr>
      <w:r w:rsidRPr="00BF4335"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Juillet 2018</w:t>
      </w:r>
      <w:r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14:paraId="5C5F684F" w14:textId="77777777" w:rsidR="00E513DB" w:rsidRPr="009D2A21" w:rsidRDefault="009D2A21" w:rsidP="009D2A21">
      <w:pPr>
        <w:pStyle w:val="Heading1"/>
        <w:spacing w:before="364"/>
        <w:ind w:left="6131"/>
        <w:rPr>
          <w:rFonts w:ascii="Times New Roman" w:hAnsi="Times New Roman" w:cs="Times New Roman"/>
          <w:sz w:val="28"/>
          <w:szCs w:val="28"/>
          <w:lang w:val="fr-CA"/>
        </w:rPr>
      </w:pPr>
      <w:r w:rsidRPr="009D2A21">
        <w:rPr>
          <w:rFonts w:ascii="Times New Roman" w:hAnsi="Times New Roman" w:cs="Times New Roman"/>
          <w:color w:val="56575D"/>
          <w:w w:val="110"/>
          <w:sz w:val="28"/>
          <w:szCs w:val="28"/>
          <w:lang w:val="fr-CA"/>
        </w:rPr>
        <w:t>Nouveaux prérequis pour la certification des allées</w:t>
      </w:r>
    </w:p>
    <w:p w14:paraId="53318054" w14:textId="77777777" w:rsidR="00E513DB" w:rsidRPr="00BF4335" w:rsidRDefault="00E513DB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D150A5B" w14:textId="77777777" w:rsidR="00E513DB" w:rsidRPr="00BF4335" w:rsidRDefault="00BF4335">
      <w:pPr>
        <w:pStyle w:val="BodyText"/>
        <w:spacing w:before="88" w:line="261" w:lineRule="auto"/>
        <w:ind w:left="1421" w:right="1332" w:firstLine="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Le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‘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United States Bowl</w:t>
      </w:r>
      <w:r w:rsidR="00B41ACE" w:rsidRPr="00BF4335"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i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ng </w:t>
      </w:r>
      <w:proofErr w:type="spellStart"/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C</w:t>
      </w:r>
      <w:r w:rsidR="00B41ACE" w:rsidRPr="00BF4335"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o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ngress</w:t>
      </w:r>
      <w:proofErr w:type="spellEnd"/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’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a appliqué de nouveaux prérequis</w:t>
      </w:r>
      <w:r w:rsidR="004162F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pour les inspections des allées à la suite de recherches récentes réalisées par l’équipe de spécifications</w:t>
      </w:r>
      <w:r w:rsidR="004162F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de l’équipement et de certification de l’USBC.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4162F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Puisque la Fédération Canadienne des Dix Quilles a une entente réciproque concernant les moyennes avec l’USBC, elle respecte donc les spécifications d’équipement de l’USBC.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14:paraId="1B3B17DB" w14:textId="77777777" w:rsidR="00E513DB" w:rsidRPr="00BF4335" w:rsidRDefault="004162F6">
      <w:pPr>
        <w:pStyle w:val="BodyText"/>
        <w:spacing w:before="298" w:line="249" w:lineRule="auto"/>
        <w:ind w:left="1429" w:right="1330" w:hanging="1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Les recherches de l’USBC </w:t>
      </w:r>
      <w:r w:rsidR="00D724A8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comprenaient l’analyse de la documentation concernant la certification des allées, 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D724A8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l’examen de plus de 1,000 agencements à travers les États-Unis d’Amérique, dans lesquels les allées ont été vérifiées afin de déterminer </w:t>
      </w:r>
      <w:r w:rsidR="00D62689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le respect des spécifications courantes, une étude de la fausse des quilles et un examen de la topographie des allées. 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14:paraId="450EFB62" w14:textId="77777777" w:rsidR="00E513DB" w:rsidRPr="00BF4335" w:rsidRDefault="00E513DB">
      <w:pPr>
        <w:pStyle w:val="BodyText"/>
        <w:spacing w:before="2"/>
        <w:rPr>
          <w:rFonts w:ascii="Times New Roman" w:hAnsi="Times New Roman" w:cs="Times New Roman"/>
          <w:sz w:val="24"/>
          <w:szCs w:val="24"/>
          <w:lang w:val="fr-CA"/>
        </w:rPr>
      </w:pPr>
    </w:p>
    <w:p w14:paraId="6ACEBBBC" w14:textId="77777777" w:rsidR="00E513DB" w:rsidRDefault="00D62689" w:rsidP="007E3706">
      <w:pPr>
        <w:pStyle w:val="BodyText"/>
        <w:spacing w:line="264" w:lineRule="auto"/>
        <w:ind w:left="1424" w:right="1323" w:firstLine="1"/>
        <w:jc w:val="both"/>
        <w:rPr>
          <w:rFonts w:ascii="Times New Roman" w:hAnsi="Times New Roman" w:cs="Times New Roman"/>
          <w:color w:val="56575D"/>
          <w:spacing w:val="-27"/>
          <w:w w:val="11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Les études ont été exécutées afin de déterminer l’étendue du nombre d’allée</w:t>
      </w:r>
      <w:r w:rsidR="007E370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s étant hors des spécifications, quelles mesures de fausse de quilles avaient le plus d’impact sur le pointage, le décalage de la topographie des allées avec le temps et comme</w:t>
      </w:r>
      <w:r w:rsidR="00920A1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nt</w:t>
      </w:r>
      <w:r w:rsidR="007E370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la topographie des allées affecte le parcours de la boule.  </w:t>
      </w:r>
      <w:r w:rsidR="00B41ACE" w:rsidRPr="00BF4335">
        <w:rPr>
          <w:rFonts w:ascii="Times New Roman" w:hAnsi="Times New Roman" w:cs="Times New Roman"/>
          <w:color w:val="56575D"/>
          <w:spacing w:val="-27"/>
          <w:w w:val="110"/>
          <w:sz w:val="24"/>
          <w:szCs w:val="24"/>
          <w:lang w:val="fr-CA"/>
        </w:rPr>
        <w:t xml:space="preserve"> </w:t>
      </w:r>
    </w:p>
    <w:p w14:paraId="18051309" w14:textId="77777777" w:rsidR="007E3706" w:rsidRPr="00BF4335" w:rsidRDefault="007E3706" w:rsidP="007E3706">
      <w:pPr>
        <w:pStyle w:val="BodyText"/>
        <w:spacing w:line="264" w:lineRule="auto"/>
        <w:ind w:left="1424" w:right="1323" w:firstLine="1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5B7FDF0" w14:textId="77777777" w:rsidR="00E513DB" w:rsidRPr="00BF4335" w:rsidRDefault="007E3706">
      <w:pPr>
        <w:pStyle w:val="BodyText"/>
        <w:spacing w:line="264" w:lineRule="auto"/>
        <w:ind w:left="1438" w:right="1319" w:hanging="12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Les principaux changements de spéciations des allées seront pour les nouvelles installation</w:t>
      </w:r>
      <w:r w:rsidR="00F4523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s, comprenant le revêtement des allées existantes, le nombre de mesures pour chaque allée et comment les plaques de rebond, les panneaux latéraux </w:t>
      </w:r>
      <w:r w:rsidR="00920A1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de chaque allée dans la fausse sont mesurés.</w:t>
      </w:r>
      <w:r w:rsidR="00F4523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  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14:paraId="4E95A678" w14:textId="77777777" w:rsidR="00E513DB" w:rsidRPr="00BF4335" w:rsidRDefault="00E513DB">
      <w:pPr>
        <w:pStyle w:val="BodyText"/>
        <w:rPr>
          <w:rFonts w:ascii="Times New Roman" w:hAnsi="Times New Roman" w:cs="Times New Roman"/>
          <w:sz w:val="24"/>
          <w:szCs w:val="24"/>
          <w:lang w:val="fr-CA"/>
        </w:rPr>
      </w:pPr>
    </w:p>
    <w:p w14:paraId="5E2031F8" w14:textId="77777777" w:rsidR="00E513DB" w:rsidRPr="00B24995" w:rsidRDefault="00920A1C" w:rsidP="00B24995">
      <w:pPr>
        <w:spacing w:before="212" w:line="254" w:lineRule="auto"/>
        <w:ind w:left="1434" w:right="1324" w:hanging="18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56575D"/>
          <w:w w:val="110"/>
          <w:sz w:val="24"/>
          <w:szCs w:val="24"/>
          <w:u w:val="single" w:color="56575D"/>
          <w:lang w:val="fr-CA"/>
        </w:rPr>
        <w:t>Pour les nouvelles installations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u w:val="single" w:color="56575D"/>
          <w:lang w:val="fr-CA"/>
        </w:rPr>
        <w:t>,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color w:val="6B6B70"/>
          <w:w w:val="110"/>
          <w:sz w:val="24"/>
          <w:szCs w:val="24"/>
          <w:u w:val="single" w:color="6B6B70"/>
          <w:lang w:val="fr-CA"/>
        </w:rPr>
        <w:t>comprenant le revêtement des allées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u w:val="single" w:color="56575D"/>
          <w:lang w:val="fr-CA"/>
        </w:rPr>
        <w:t>,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la spécification pour 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la forme (concave et convexe) de la surface et l’inclinaison transversale seront de plus ou moins trente millièmes de pouce (0.030</w:t>
      </w:r>
      <w:r w:rsidR="008637DA" w:rsidRPr="008637DA">
        <w:rPr>
          <w:color w:val="56575D"/>
          <w:w w:val="110"/>
          <w:sz w:val="24"/>
          <w:szCs w:val="24"/>
          <w:lang w:val="fr-CA"/>
        </w:rPr>
        <w:t>’’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)</w:t>
      </w:r>
      <w:r w:rsidR="00B41ACE" w:rsidRPr="00BF4335">
        <w:rPr>
          <w:rFonts w:ascii="Times New Roman" w:hAnsi="Times New Roman" w:cs="Times New Roman"/>
          <w:color w:val="56575D"/>
          <w:spacing w:val="3"/>
          <w:w w:val="110"/>
          <w:sz w:val="24"/>
          <w:szCs w:val="24"/>
          <w:lang w:val="fr-CA"/>
        </w:rPr>
        <w:t xml:space="preserve"> 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à partir du 1</w:t>
      </w:r>
      <w:r w:rsidR="008637DA" w:rsidRPr="008637DA">
        <w:rPr>
          <w:rFonts w:ascii="Times New Roman" w:hAnsi="Times New Roman" w:cs="Times New Roman"/>
          <w:color w:val="56575D"/>
          <w:w w:val="110"/>
          <w:sz w:val="24"/>
          <w:szCs w:val="24"/>
          <w:vertAlign w:val="superscript"/>
          <w:lang w:val="fr-CA"/>
        </w:rPr>
        <w:t>er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août 2019.Ce changement de spécification </w:t>
      </w:r>
      <w:r w:rsidR="00B2499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se fera uniquement lors de l’installation et il réduira les coûts d’entretien.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B24995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 w:color="56575D"/>
          <w:lang w:val="fr-CA"/>
        </w:rPr>
        <w:t>La spécification de plus ou moins de quarante millièmes de pouce (0.040</w:t>
      </w:r>
      <w:r w:rsidR="00B24995" w:rsidRPr="00BF4335">
        <w:rPr>
          <w:rFonts w:ascii="Times New Roman" w:hAnsi="Times New Roman" w:cs="Times New Roman"/>
          <w:color w:val="56575D"/>
          <w:w w:val="105"/>
          <w:sz w:val="24"/>
          <w:szCs w:val="24"/>
          <w:u w:val="single" w:color="56575D"/>
          <w:lang w:val="fr-CA"/>
        </w:rPr>
        <w:t>"</w:t>
      </w:r>
      <w:r w:rsidR="00B24995">
        <w:rPr>
          <w:rFonts w:ascii="Times New Roman" w:hAnsi="Times New Roman" w:cs="Times New Roman"/>
          <w:color w:val="56575D"/>
          <w:w w:val="105"/>
          <w:sz w:val="24"/>
          <w:szCs w:val="24"/>
          <w:u w:val="single" w:color="56575D"/>
          <w:lang w:val="fr-CA"/>
        </w:rPr>
        <w:t>)</w:t>
      </w:r>
      <w:r w:rsidR="00B41ACE" w:rsidRPr="00BF4335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 w:color="56575D"/>
          <w:lang w:val="fr-CA"/>
        </w:rPr>
        <w:t xml:space="preserve"> </w:t>
      </w:r>
      <w:r w:rsidR="00B24995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 w:color="56575D"/>
          <w:lang w:val="fr-CA"/>
        </w:rPr>
        <w:t>sera de mise pour la prochaine inspection annuelle</w:t>
      </w:r>
      <w:r w:rsidR="00B24995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>.</w:t>
      </w:r>
    </w:p>
    <w:p w14:paraId="1429D1E9" w14:textId="77777777" w:rsidR="00F2782D" w:rsidRDefault="00F2782D">
      <w:pPr>
        <w:pStyle w:val="BodyText"/>
        <w:spacing w:line="261" w:lineRule="auto"/>
        <w:ind w:left="1438" w:right="1319" w:hanging="3"/>
        <w:jc w:val="both"/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</w:pPr>
    </w:p>
    <w:p w14:paraId="236690D1" w14:textId="77777777" w:rsidR="009D2FF3" w:rsidRDefault="00F2782D">
      <w:pPr>
        <w:pStyle w:val="BodyText"/>
        <w:spacing w:line="261" w:lineRule="auto"/>
        <w:ind w:left="1438" w:right="1319" w:hanging="3"/>
        <w:jc w:val="both"/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La topographie des allées qui </w:t>
      </w:r>
      <w:r w:rsidR="004900EB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exhibe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la connexité et la concavité, a démontré</w:t>
      </w:r>
      <w:r w:rsidR="004900EB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les surfaces des allées peuvent changer tout au long de l’année selon les conditions environnementales telles que la température et l’humidité. Si les allées sont plus </w:t>
      </w:r>
      <w:r w:rsidR="0008389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aplanies au départ, elles demeureront </w:t>
      </w:r>
      <w:r w:rsidR="009D2FF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dans</w:t>
      </w:r>
      <w:r w:rsidR="0008389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les limites de spécification de 0.040 de pouce pour plusieurs anné</w:t>
      </w:r>
      <w:r w:rsidR="009D2FF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es,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08389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incitant le changement de </w:t>
      </w:r>
      <w:r w:rsidR="00083893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spécification</w:t>
      </w:r>
      <w:r w:rsidR="009D2FF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. </w:t>
      </w:r>
    </w:p>
    <w:p w14:paraId="30CE6C1B" w14:textId="77777777" w:rsidR="009D2FF3" w:rsidRDefault="009D2FF3">
      <w:pPr>
        <w:pStyle w:val="BodyText"/>
        <w:spacing w:line="261" w:lineRule="auto"/>
        <w:ind w:left="1438" w:right="1319" w:hanging="3"/>
        <w:jc w:val="both"/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14:paraId="7A161AE7" w14:textId="77777777" w:rsidR="00E513DB" w:rsidRPr="00BF4335" w:rsidRDefault="009D2FF3" w:rsidP="009D2FF3">
      <w:pPr>
        <w:pStyle w:val="BodyText"/>
        <w:spacing w:line="261" w:lineRule="auto"/>
        <w:ind w:left="1438" w:right="1319" w:hanging="3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Une nouvelle demande de certification d’un centre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disponible sur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tenpincanada.com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qui indiquera le nombre de mesures requises pour chaque allée et plaque de rebond mesurées.</w:t>
      </w:r>
    </w:p>
    <w:p w14:paraId="3D12FA9E" w14:textId="77777777" w:rsidR="00E513DB" w:rsidRPr="00BF4335" w:rsidRDefault="00E513DB">
      <w:pPr>
        <w:pStyle w:val="BodyText"/>
        <w:spacing w:before="6"/>
        <w:rPr>
          <w:rFonts w:ascii="Times New Roman" w:hAnsi="Times New Roman" w:cs="Times New Roman"/>
          <w:sz w:val="24"/>
          <w:szCs w:val="24"/>
          <w:lang w:val="fr-CA"/>
        </w:rPr>
      </w:pPr>
    </w:p>
    <w:p w14:paraId="1C254C0D" w14:textId="77777777" w:rsidR="00E513DB" w:rsidRPr="00BF4335" w:rsidRDefault="009D2FF3">
      <w:pPr>
        <w:pStyle w:val="BodyText"/>
        <w:spacing w:line="259" w:lineRule="auto"/>
        <w:ind w:left="1462" w:right="1281" w:hanging="1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Les inspecteurs d’allées devront mesurer les allées à cinq endroits pour les 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convexités et concavités et l’inclinaison transversale, au lieu des trois endroits actuels. </w:t>
      </w:r>
      <w:r w:rsidR="00B41ACE" w:rsidRPr="00BF4335">
        <w:rPr>
          <w:rFonts w:ascii="Times New Roman" w:hAnsi="Times New Roman" w:cs="Times New Roman"/>
          <w:color w:val="56575D"/>
          <w:spacing w:val="-3"/>
          <w:w w:val="110"/>
          <w:sz w:val="24"/>
          <w:szCs w:val="24"/>
          <w:lang w:val="fr-CA"/>
        </w:rPr>
        <w:t xml:space="preserve"> 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Du fait que plusieurs allées possèdent des panneaux synthétiques et que ça prend cinq panneaux synthétiques pour construire une allée, il est donc nécessaire d’exécuter au moins une mesure </w:t>
      </w:r>
      <w:r w:rsidR="009B51F2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sur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9B51F2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chaque panneau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.  </w:t>
      </w:r>
    </w:p>
    <w:p w14:paraId="5DE36198" w14:textId="77777777" w:rsidR="00E513DB" w:rsidRPr="00BF4335" w:rsidRDefault="00E513DB">
      <w:pPr>
        <w:pStyle w:val="BodyText"/>
        <w:spacing w:before="10"/>
        <w:rPr>
          <w:rFonts w:ascii="Times New Roman" w:hAnsi="Times New Roman" w:cs="Times New Roman"/>
          <w:sz w:val="24"/>
          <w:szCs w:val="24"/>
          <w:lang w:val="fr-CA"/>
        </w:rPr>
      </w:pPr>
    </w:p>
    <w:p w14:paraId="7723DA02" w14:textId="77777777" w:rsidR="00E513DB" w:rsidRPr="00BF4335" w:rsidRDefault="009B51F2">
      <w:pPr>
        <w:spacing w:line="254" w:lineRule="auto"/>
        <w:ind w:left="1460" w:right="1288" w:firstLine="2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 xml:space="preserve">L’étude en ce qui a trait au </w:t>
      </w:r>
      <w:r w:rsidR="00567380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 xml:space="preserve">plateau des quilles a déterminé que le mesurage le plus important influençant le pointage d’abats était la distance entre la plaque de rebonds et l’arrière du plateau des quilles. </w:t>
      </w:r>
      <w:r w:rsidR="00B41ACE" w:rsidRPr="00BF4335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 xml:space="preserve"> </w:t>
      </w:r>
      <w:r w:rsidR="00567380" w:rsidRPr="00283124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/>
          <w:lang w:val="fr-CA"/>
        </w:rPr>
        <w:t xml:space="preserve">Les mesures seront désormais prises à partir de la plaque de rebonds à partir de la saison </w:t>
      </w:r>
      <w:r w:rsidR="00283124" w:rsidRPr="00283124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/>
          <w:lang w:val="fr-CA"/>
        </w:rPr>
        <w:t>2018-2019</w:t>
      </w:r>
      <w:r w:rsidR="00283124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>,</w:t>
      </w:r>
      <w:r w:rsidR="00B41ACE" w:rsidRPr="00BF4335">
        <w:rPr>
          <w:rFonts w:ascii="Times New Roman" w:hAnsi="Times New Roman" w:cs="Times New Roman"/>
          <w:b/>
          <w:color w:val="3F3F44"/>
          <w:spacing w:val="7"/>
          <w:sz w:val="24"/>
          <w:szCs w:val="24"/>
          <w:lang w:val="fr-CA"/>
        </w:rPr>
        <w:t xml:space="preserve"> </w:t>
      </w:r>
      <w:r w:rsidR="00283124">
        <w:rPr>
          <w:rFonts w:ascii="Times New Roman" w:hAnsi="Times New Roman" w:cs="Times New Roman"/>
          <w:color w:val="56575D"/>
          <w:spacing w:val="-24"/>
          <w:w w:val="109"/>
          <w:sz w:val="24"/>
          <w:szCs w:val="24"/>
          <w:lang w:val="fr-CA"/>
        </w:rPr>
        <w:t>puisque cela simplifie le processus de mesurage et que cela n’est pas un changement de spécification.</w:t>
      </w:r>
    </w:p>
    <w:p w14:paraId="356F7E1B" w14:textId="77777777" w:rsidR="00E513DB" w:rsidRPr="00BF4335" w:rsidRDefault="00E513DB">
      <w:pPr>
        <w:pStyle w:val="BodyText"/>
        <w:spacing w:before="5"/>
        <w:rPr>
          <w:rFonts w:ascii="Times New Roman" w:hAnsi="Times New Roman" w:cs="Times New Roman"/>
          <w:sz w:val="24"/>
          <w:szCs w:val="24"/>
          <w:lang w:val="fr-CA"/>
        </w:rPr>
      </w:pPr>
    </w:p>
    <w:p w14:paraId="1145A38F" w14:textId="77777777" w:rsidR="00E513DB" w:rsidRPr="00BF4335" w:rsidRDefault="00283124">
      <w:pPr>
        <w:spacing w:line="256" w:lineRule="auto"/>
        <w:ind w:left="1457" w:right="1304" w:hanging="2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spacing w:val="-1"/>
          <w:w w:val="110"/>
          <w:sz w:val="24"/>
          <w:szCs w:val="24"/>
          <w:lang w:val="fr-CA"/>
        </w:rPr>
        <w:t>Aller à Bowl.com et cliquez sur</w:t>
      </w:r>
      <w:r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‘</w:t>
      </w:r>
      <w:r w:rsidR="00B41ACE" w:rsidRPr="00BF4335"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Lane-Centr</w:t>
      </w:r>
      <w:r w:rsidR="00B41ACE" w:rsidRPr="00BF4335"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e</w:t>
      </w:r>
      <w:r w:rsidR="00B41ACE" w:rsidRPr="00BF4335"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</w:t>
      </w:r>
      <w:r w:rsidR="00B41ACE" w:rsidRPr="00BF4335">
        <w:rPr>
          <w:rFonts w:ascii="Times New Roman" w:hAnsi="Times New Roman" w:cs="Times New Roman"/>
          <w:color w:val="56575D"/>
          <w:spacing w:val="5"/>
          <w:w w:val="108"/>
          <w:sz w:val="24"/>
          <w:szCs w:val="24"/>
          <w:lang w:val="fr-CA"/>
        </w:rPr>
        <w:t>C</w:t>
      </w:r>
      <w:r w:rsidR="00B41ACE" w:rsidRPr="00BF4335">
        <w:rPr>
          <w:rFonts w:ascii="Times New Roman" w:hAnsi="Times New Roman" w:cs="Times New Roman"/>
          <w:color w:val="56575D"/>
          <w:spacing w:val="1"/>
          <w:w w:val="108"/>
          <w:sz w:val="24"/>
          <w:szCs w:val="24"/>
          <w:lang w:val="fr-CA"/>
        </w:rPr>
        <w:t>e</w:t>
      </w:r>
      <w:r w:rsidR="00B41ACE" w:rsidRPr="00BF4335">
        <w:rPr>
          <w:rFonts w:ascii="Times New Roman" w:hAnsi="Times New Roman" w:cs="Times New Roman"/>
          <w:color w:val="56575D"/>
          <w:spacing w:val="-5"/>
          <w:w w:val="108"/>
          <w:sz w:val="24"/>
          <w:szCs w:val="24"/>
          <w:lang w:val="fr-CA"/>
        </w:rPr>
        <w:t>r</w:t>
      </w:r>
      <w:r w:rsidR="00B41ACE" w:rsidRPr="00BF4335">
        <w:rPr>
          <w:rFonts w:ascii="Times New Roman" w:hAnsi="Times New Roman" w:cs="Times New Roman"/>
          <w:color w:val="3F3F44"/>
          <w:spacing w:val="7"/>
          <w:w w:val="108"/>
          <w:sz w:val="24"/>
          <w:szCs w:val="24"/>
          <w:lang w:val="fr-CA"/>
        </w:rPr>
        <w:t>t</w:t>
      </w:r>
      <w:r w:rsidR="00B41ACE" w:rsidRPr="00BF4335"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if</w:t>
      </w:r>
      <w:r w:rsidR="00B41ACE" w:rsidRPr="00BF4335">
        <w:rPr>
          <w:rFonts w:ascii="Times New Roman" w:hAnsi="Times New Roman" w:cs="Times New Roman"/>
          <w:color w:val="56575D"/>
          <w:spacing w:val="10"/>
          <w:w w:val="108"/>
          <w:sz w:val="24"/>
          <w:szCs w:val="24"/>
          <w:lang w:val="fr-CA"/>
        </w:rPr>
        <w:t>i</w:t>
      </w:r>
      <w:r w:rsidR="00B41ACE" w:rsidRPr="00BF4335"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ca</w:t>
      </w:r>
      <w:r w:rsidR="00B41ACE" w:rsidRPr="00BF4335"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ti</w:t>
      </w:r>
      <w:r w:rsidR="00B41ACE" w:rsidRPr="00BF4335">
        <w:rPr>
          <w:rFonts w:ascii="Times New Roman" w:hAnsi="Times New Roman" w:cs="Times New Roman"/>
          <w:color w:val="56575D"/>
          <w:spacing w:val="1"/>
          <w:w w:val="108"/>
          <w:sz w:val="24"/>
          <w:szCs w:val="24"/>
          <w:lang w:val="fr-CA"/>
        </w:rPr>
        <w:t>o</w:t>
      </w:r>
      <w:r w:rsidR="00B41ACE" w:rsidRPr="00BF4335">
        <w:rPr>
          <w:rFonts w:ascii="Times New Roman" w:hAnsi="Times New Roman" w:cs="Times New Roman"/>
          <w:color w:val="56575D"/>
          <w:spacing w:val="-2"/>
          <w:w w:val="108"/>
          <w:sz w:val="24"/>
          <w:szCs w:val="24"/>
          <w:lang w:val="fr-CA"/>
        </w:rPr>
        <w:t>n</w:t>
      </w:r>
      <w:r w:rsidR="00B41ACE" w:rsidRPr="00BF4335"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’</w:t>
      </w:r>
      <w:r w:rsidR="00B41ACE" w:rsidRPr="00BF4335"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afin de saisir et voir l’étude complète sur la certification des allées.</w:t>
      </w:r>
      <w:r w:rsidR="00B41ACE" w:rsidRPr="00BF4335"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</w:t>
      </w:r>
    </w:p>
    <w:p w14:paraId="37A05EF2" w14:textId="77777777" w:rsidR="00E513DB" w:rsidRPr="00BF4335" w:rsidRDefault="00E513DB">
      <w:pPr>
        <w:pStyle w:val="BodyText"/>
        <w:rPr>
          <w:sz w:val="40"/>
          <w:lang w:val="fr-CA"/>
        </w:rPr>
      </w:pPr>
    </w:p>
    <w:p w14:paraId="1E673405" w14:textId="77777777" w:rsidR="00E513DB" w:rsidRDefault="00E513DB">
      <w:pPr>
        <w:pStyle w:val="BodyText"/>
        <w:rPr>
          <w:sz w:val="40"/>
        </w:rPr>
      </w:pPr>
    </w:p>
    <w:p w14:paraId="78436FF1" w14:textId="77777777" w:rsidR="00E513DB" w:rsidRDefault="00E513DB">
      <w:pPr>
        <w:pStyle w:val="BodyText"/>
        <w:rPr>
          <w:sz w:val="40"/>
        </w:rPr>
      </w:pPr>
    </w:p>
    <w:p w14:paraId="4E2A5F5F" w14:textId="77777777" w:rsidR="00E513DB" w:rsidRDefault="00E513DB">
      <w:pPr>
        <w:pStyle w:val="BodyText"/>
        <w:rPr>
          <w:sz w:val="40"/>
        </w:rPr>
      </w:pPr>
    </w:p>
    <w:p w14:paraId="4A998BDD" w14:textId="77777777" w:rsidR="00E513DB" w:rsidRDefault="00E513DB">
      <w:pPr>
        <w:pStyle w:val="BodyText"/>
        <w:spacing w:before="2"/>
        <w:rPr>
          <w:sz w:val="33"/>
        </w:rPr>
      </w:pPr>
    </w:p>
    <w:p w14:paraId="7F977AA4" w14:textId="7572D0D7" w:rsidR="00E513DB" w:rsidRPr="009D2A21" w:rsidRDefault="009D2A21" w:rsidP="009D2A21">
      <w:pPr>
        <w:tabs>
          <w:tab w:val="left" w:pos="7460"/>
          <w:tab w:val="left" w:pos="15773"/>
        </w:tabs>
        <w:spacing w:before="1"/>
        <w:ind w:left="32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928B3" wp14:editId="55BB43ED">
                <wp:simplePos x="0" y="0"/>
                <wp:positionH relativeFrom="page">
                  <wp:posOffset>879475</wp:posOffset>
                </wp:positionH>
                <wp:positionV relativeFrom="paragraph">
                  <wp:posOffset>-142875</wp:posOffset>
                </wp:positionV>
                <wp:extent cx="12463780" cy="0"/>
                <wp:effectExtent l="22225" t="19050" r="203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3780" cy="0"/>
                        </a:xfrm>
                        <a:prstGeom prst="line">
                          <a:avLst/>
                        </a:prstGeom>
                        <a:noFill/>
                        <a:ln w="258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D10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25pt,-11.25pt" to="1050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" strokeweight=".71781mm">
                <w10:wrap anchorx="page"/>
              </v:line>
            </w:pict>
          </mc:Fallback>
        </mc:AlternateContent>
      </w:r>
      <w:r w:rsidR="00D212E3" w:rsidRPr="00D212E3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</w:t>
      </w:r>
      <w:r w:rsidR="00D212E3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Tel. </w:t>
      </w:r>
      <w:proofErr w:type="gramStart"/>
      <w:r w:rsidR="00D212E3">
        <w:rPr>
          <w:rFonts w:ascii="Times New Roman" w:hAnsi="Times New Roman" w:cs="Times New Roman"/>
          <w:color w:val="56575D"/>
          <w:sz w:val="28"/>
          <w:szCs w:val="28"/>
          <w:lang w:val="fr-CA"/>
        </w:rPr>
        <w:t>e</w:t>
      </w:r>
      <w:r w:rsidR="00D212E3">
        <w:rPr>
          <w:rFonts w:ascii="Times New Roman" w:hAnsi="Times New Roman" w:cs="Times New Roman"/>
          <w:color w:val="56575D"/>
          <w:sz w:val="28"/>
          <w:szCs w:val="28"/>
          <w:lang w:val="fr-CA"/>
        </w:rPr>
        <w:t>t</w:t>
      </w:r>
      <w:proofErr w:type="gramEnd"/>
      <w:r w:rsidR="00D212E3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Fax sans frais : 1-833-381-2830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                  </w:t>
      </w:r>
      <w:r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</w:t>
      </w:r>
      <w:r w:rsidR="00D212E3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Site Web : </w:t>
      </w:r>
      <w:r w:rsidRPr="009D2A21">
        <w:rPr>
          <w:rFonts w:ascii="Times New Roman" w:hAnsi="Times New Roman" w:cs="Times New Roman"/>
          <w:color w:val="56575D"/>
          <w:spacing w:val="-1"/>
          <w:w w:val="98"/>
          <w:sz w:val="28"/>
          <w:szCs w:val="28"/>
          <w:lang w:val="fr-CA"/>
        </w:rPr>
        <w:t>tenpincanada.com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                      </w:t>
      </w:r>
      <w:r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  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</w:t>
      </w:r>
      <w:r w:rsidRPr="009D2A21">
        <w:rPr>
          <w:rFonts w:ascii="Times New Roman" w:hAnsi="Times New Roman" w:cs="Times New Roman"/>
          <w:color w:val="3F3F44"/>
          <w:spacing w:val="-1"/>
          <w:w w:val="95"/>
          <w:position w:val="3"/>
          <w:sz w:val="28"/>
          <w:szCs w:val="28"/>
          <w:lang w:val="fr-CA"/>
        </w:rPr>
        <w:t>Courriel</w:t>
      </w:r>
      <w:r w:rsidR="00B41ACE" w:rsidRPr="009D2A21">
        <w:rPr>
          <w:rFonts w:ascii="Times New Roman" w:hAnsi="Times New Roman" w:cs="Times New Roman"/>
          <w:color w:val="3F3F44"/>
          <w:w w:val="95"/>
          <w:position w:val="3"/>
          <w:sz w:val="28"/>
          <w:szCs w:val="28"/>
          <w:lang w:val="fr-CA"/>
        </w:rPr>
        <w:t>:</w:t>
      </w:r>
      <w:r w:rsidR="00B41ACE" w:rsidRPr="009D2A21">
        <w:rPr>
          <w:rFonts w:ascii="Times New Roman" w:hAnsi="Times New Roman" w:cs="Times New Roman"/>
          <w:color w:val="3F3F44"/>
          <w:spacing w:val="28"/>
          <w:position w:val="3"/>
          <w:sz w:val="28"/>
          <w:szCs w:val="28"/>
          <w:lang w:val="fr-CA"/>
        </w:rPr>
        <w:t xml:space="preserve"> </w:t>
      </w:r>
      <w:hyperlink r:id="rId7" w:history="1">
        <w:r w:rsidR="00D212E3" w:rsidRPr="00F10BFF">
          <w:rPr>
            <w:rStyle w:val="Hyperlink"/>
            <w:rFonts w:ascii="Times New Roman" w:hAnsi="Times New Roman" w:cs="Times New Roman"/>
            <w:spacing w:val="-20"/>
            <w:w w:val="101"/>
            <w:position w:val="3"/>
            <w:sz w:val="28"/>
            <w:szCs w:val="28"/>
            <w:lang w:val="fr-CA"/>
          </w:rPr>
          <w:t>ctf@tenpincanada.com</w:t>
        </w:r>
      </w:hyperlink>
    </w:p>
    <w:sectPr w:rsidR="00E513DB" w:rsidRPr="009D2A21">
      <w:type w:val="continuous"/>
      <w:pgSz w:w="22390" w:h="31660"/>
      <w:pgMar w:top="1920" w:right="14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201F" w14:textId="77777777" w:rsidR="007E4ACD" w:rsidRDefault="007E4ACD" w:rsidP="00202FB5">
      <w:r>
        <w:separator/>
      </w:r>
    </w:p>
  </w:endnote>
  <w:endnote w:type="continuationSeparator" w:id="0">
    <w:p w14:paraId="08715133" w14:textId="77777777" w:rsidR="007E4ACD" w:rsidRDefault="007E4ACD" w:rsidP="0020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C610" w14:textId="77777777" w:rsidR="007E4ACD" w:rsidRDefault="007E4ACD" w:rsidP="00202FB5">
      <w:r>
        <w:separator/>
      </w:r>
    </w:p>
  </w:footnote>
  <w:footnote w:type="continuationSeparator" w:id="0">
    <w:p w14:paraId="6E9A834C" w14:textId="77777777" w:rsidR="007E4ACD" w:rsidRDefault="007E4ACD" w:rsidP="0020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DB"/>
    <w:rsid w:val="00083893"/>
    <w:rsid w:val="00202FB5"/>
    <w:rsid w:val="00283124"/>
    <w:rsid w:val="004162F6"/>
    <w:rsid w:val="004900EB"/>
    <w:rsid w:val="00515817"/>
    <w:rsid w:val="00567380"/>
    <w:rsid w:val="006E5232"/>
    <w:rsid w:val="007E3706"/>
    <w:rsid w:val="007E4ACD"/>
    <w:rsid w:val="008637DA"/>
    <w:rsid w:val="008E23C4"/>
    <w:rsid w:val="00903215"/>
    <w:rsid w:val="00920A1C"/>
    <w:rsid w:val="009B51F2"/>
    <w:rsid w:val="009D2A21"/>
    <w:rsid w:val="009D2FF3"/>
    <w:rsid w:val="00B24995"/>
    <w:rsid w:val="00B41ACE"/>
    <w:rsid w:val="00BA4414"/>
    <w:rsid w:val="00BF4335"/>
    <w:rsid w:val="00D212E3"/>
    <w:rsid w:val="00D62689"/>
    <w:rsid w:val="00D724A8"/>
    <w:rsid w:val="00E513DB"/>
    <w:rsid w:val="00E67826"/>
    <w:rsid w:val="00F2782D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6D1C"/>
  <w15:docId w15:val="{73AD4F86-177B-4D41-8B84-B12028D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37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2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B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D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f@tenpincan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Rapagna</dc:creator>
  <cp:lastModifiedBy>Dan Tereck</cp:lastModifiedBy>
  <cp:revision>3</cp:revision>
  <dcterms:created xsi:type="dcterms:W3CDTF">2020-07-02T16:08:00Z</dcterms:created>
  <dcterms:modified xsi:type="dcterms:W3CDTF">2020-07-02T16:14:00Z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2019-05-02T00:00:00Z</vt:filetime>
  </property>
</Properties>
</file>